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9FC0A" w14:textId="77777777" w:rsidR="004A1D77" w:rsidRPr="004A1D77" w:rsidRDefault="004A1D77" w:rsidP="004A1D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Микросхема представляет собой два управляемых напряжением генератора. Содержит 394 интегральных элемента.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</w:r>
    </w:p>
    <w:p w14:paraId="5EC6E180" w14:textId="77777777" w:rsidR="004A1D77" w:rsidRPr="004A1D77" w:rsidRDefault="004A1D77" w:rsidP="004A1D77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4A1D77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Назначение выводов микросхемы КР531ГГ1:</w:t>
      </w:r>
    </w:p>
    <w:p w14:paraId="0EC5CB7D" w14:textId="77777777" w:rsidR="004A1D77" w:rsidRPr="004A1D77" w:rsidRDefault="004A1D77" w:rsidP="004A1D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 – вход управления частотой X6;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2 – вход управления частотой X1;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3 – входы управления диапазоном частоты X2;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4 – вход подключения </w:t>
      </w:r>
      <w:proofErr w:type="spell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C</w:t>
      </w:r>
      <w:r w:rsidRPr="004A1D77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вн</w:t>
      </w:r>
      <w:proofErr w:type="spell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(резонатора);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5 – вход подключения </w:t>
      </w:r>
      <w:proofErr w:type="spell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C</w:t>
      </w:r>
      <w:r w:rsidRPr="004A1D77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вн</w:t>
      </w:r>
      <w:proofErr w:type="spell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(резонатора);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6 – вход разрешения X3;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7 – выход Y1;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8 – общий 1;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9 – общий 2;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10 – выход Y2;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11 – вход разрешения X8;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12 — вход подключения </w:t>
      </w:r>
      <w:proofErr w:type="spell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C</w:t>
      </w:r>
      <w:r w:rsidRPr="004A1D77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вн</w:t>
      </w:r>
      <w:proofErr w:type="spell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(резонатора) X9;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13 – вход подключения </w:t>
      </w:r>
      <w:proofErr w:type="spell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C</w:t>
      </w:r>
      <w:r w:rsidRPr="004A1D77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вн</w:t>
      </w:r>
      <w:proofErr w:type="spell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(резонатора) X10;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14 – входы управления диапазоном частоты X7;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15 – напряжение питания;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16 – напряжение питания.</w:t>
      </w:r>
    </w:p>
    <w:p w14:paraId="551C21AC" w14:textId="77777777" w:rsidR="004A1D77" w:rsidRPr="004A1D77" w:rsidRDefault="004A1D77" w:rsidP="004A1D77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4A1D77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Электрические параметры микросхемы КР531ГГ1:</w:t>
      </w:r>
    </w:p>
    <w:p w14:paraId="3344A438" w14:textId="77777777" w:rsidR="004A1D77" w:rsidRPr="004A1D77" w:rsidRDefault="004A1D77" w:rsidP="004A1D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Номинальное напряжение питания . . . . . . . . . . . . . . . . . . . . . . . . . . . 5 В ±5%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Выходное напряжение низкого уровня . . . . . . . . . . . . . . . . . . . . . . . . ≤ 0,5 В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Выходное напряжение высокого уровня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≥ 2,7 В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Ток потребления . . . . . . . . . . . . . . . . . .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≤ 150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ток: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при </w:t>
      </w:r>
      <w:proofErr w:type="spell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U</w:t>
      </w:r>
      <w:r w:rsidRPr="004A1D77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вх</w:t>
      </w:r>
      <w:proofErr w:type="spell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=1 В . . . . . . . . . . . . . . . . . . . . . .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.≤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0,015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при </w:t>
      </w:r>
      <w:proofErr w:type="spell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U</w:t>
      </w:r>
      <w:r w:rsidRPr="004A1D77">
        <w:rPr>
          <w:rFonts w:ascii="Helvetica" w:eastAsia="Times New Roman" w:hAnsi="Helvetica" w:cs="Helvetica"/>
          <w:color w:val="333333"/>
          <w:sz w:val="16"/>
          <w:szCs w:val="16"/>
          <w:vertAlign w:val="subscript"/>
          <w:lang w:eastAsia="ru-RU"/>
        </w:rPr>
        <w:t>вх</w:t>
      </w:r>
      <w:proofErr w:type="spell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=5 В . . . . . . . . . . . . . . . . . . . . . .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.≤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0,05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Входной ток низкого уровня . . . . . . . . . . . . .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.≤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|-2|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высокого уровня . . . . . . . . . . . . . . . . . . . . . . . . . . . . . . .≤ 0,05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Частота генерирования . . . . . . . . . . . . . . . . . . . . . . . . . . . . . . . . . . . .≥ 45 МГц</w:t>
      </w:r>
    </w:p>
    <w:p w14:paraId="6B5CBEED" w14:textId="77777777" w:rsidR="004A1D77" w:rsidRPr="004A1D77" w:rsidRDefault="004A1D77" w:rsidP="004A1D77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4A1D77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Предельно допустимые режимы эксплуатации микросхемы КР531ГГ1:</w:t>
      </w:r>
    </w:p>
    <w:p w14:paraId="601567FB" w14:textId="77777777" w:rsidR="004A1D77" w:rsidRPr="004A1D77" w:rsidRDefault="004A1D77" w:rsidP="004A1D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Входное напряжение по выводам 1-3; 14: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максимальное . . . . . . . . . . . . . . . . . . . . . . . . . . . . . . . . . . . . . . . 5 В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минимальное . . . . . . . . . . . . . . . . . . . . . . . . . . . . . . . . . . . . . . . .1 В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Максимальный выходной ток высокого уровня . . . . . . . . . . . . . . . . . . . .-1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Максимальный выходной ток низкого уровня . . . . . . . . . . . . . . . . . . . . .20 мА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Емкость, подключаемая к выводам 4 и 5, 12 и 13 при скважности 2: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максимальное . . . . . . . . . . . . . . . . . . . . . . . . . . . . . . . . . . . . . . . .500*106 пФ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минимальное . . . . . . . . . . . . . . . . . . . . . . . . . . . . . . . . . . . . . . . . 9 пФ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Максимальная емкость нагрузки . . . . . .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. 15 пФ</w:t>
      </w:r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 xml:space="preserve">Температура окружающей среды . . . . . . . . . . . . . . . . . . . . . . . .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 . . .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gramStart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.-</w:t>
      </w:r>
      <w:proofErr w:type="gramEnd"/>
      <w:r w:rsidRPr="004A1D77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10…+70 °С</w:t>
      </w:r>
    </w:p>
    <w:p w14:paraId="3042F8F4" w14:textId="77777777" w:rsidR="004A1D77" w:rsidRPr="004A1D77" w:rsidRDefault="004A1D77" w:rsidP="004A1D77">
      <w:pPr>
        <w:shd w:val="clear" w:color="auto" w:fill="FFFFFF"/>
        <w:spacing w:before="300" w:after="150" w:line="240" w:lineRule="auto"/>
        <w:jc w:val="center"/>
        <w:outlineLvl w:val="1"/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</w:pPr>
      <w:r w:rsidRPr="004A1D77">
        <w:rPr>
          <w:rFonts w:ascii="inherit" w:eastAsia="Times New Roman" w:hAnsi="inherit" w:cs="Helvetica"/>
          <w:color w:val="333333"/>
          <w:sz w:val="27"/>
          <w:szCs w:val="27"/>
          <w:lang w:eastAsia="ru-RU"/>
        </w:rPr>
        <w:t>Условное графическое обозначение микросхемы КР531ГГ1:</w:t>
      </w:r>
    </w:p>
    <w:p w14:paraId="14556A48" w14:textId="0055C6CE" w:rsidR="004A1D77" w:rsidRPr="004A1D77" w:rsidRDefault="004A1D77" w:rsidP="004A1D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A1D77">
        <w:rPr>
          <w:rFonts w:ascii="Helvetica" w:eastAsia="Times New Roman" w:hAnsi="Helvetica" w:cs="Helvetica"/>
          <w:noProof/>
          <w:color w:val="6D7524"/>
          <w:sz w:val="21"/>
          <w:szCs w:val="21"/>
          <w:lang w:eastAsia="ru-RU"/>
        </w:rPr>
        <w:lastRenderedPageBreak/>
        <w:drawing>
          <wp:inline distT="0" distB="0" distL="0" distR="0" wp14:anchorId="1E9A9FF7" wp14:editId="4ECF434D">
            <wp:extent cx="4095750" cy="2476500"/>
            <wp:effectExtent l="0" t="0" r="0" b="0"/>
            <wp:docPr id="2" name="Picture 2" descr="условное графическое обозначение микросхемы КР531ГГ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ловное графическое обозначение микросхемы КР531ГГ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B0421" w14:textId="24E9445F" w:rsidR="004A1D77" w:rsidRPr="004A1D77" w:rsidRDefault="004A1D77" w:rsidP="004A1D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4A1D77">
        <w:rPr>
          <w:rFonts w:ascii="Helvetica" w:eastAsia="Times New Roman" w:hAnsi="Helvetica" w:cs="Helvetica"/>
          <w:noProof/>
          <w:color w:val="6D7524"/>
          <w:sz w:val="21"/>
          <w:szCs w:val="21"/>
          <w:lang w:eastAsia="ru-RU"/>
        </w:rPr>
        <w:drawing>
          <wp:inline distT="0" distB="0" distL="0" distR="0" wp14:anchorId="2CF77616" wp14:editId="0DEBAA19">
            <wp:extent cx="5940425" cy="1428750"/>
            <wp:effectExtent l="0" t="0" r="3175" b="0"/>
            <wp:docPr id="1" name="Picture 1" descr="Таблица истинности микросхемы КР531ГГ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блица истинности микросхемы КР531ГГ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6A407" w14:textId="77777777" w:rsidR="00214DD9" w:rsidRDefault="00214DD9"/>
    <w:sectPr w:rsidR="00214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D77"/>
    <w:rsid w:val="00214DD9"/>
    <w:rsid w:val="004A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4CCF5"/>
  <w15:chartTrackingRefBased/>
  <w15:docId w15:val="{D2F06A61-EC7B-4433-A915-DD219EA5C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1D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1D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4A1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07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iloom.ru/wp-content/uploads/2017/03/KR531GG1_1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kiloom.ru/wp-content/uploads/2017/03/KR531GG1.p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2020-11-28T09:33:00Z</dcterms:created>
  <dcterms:modified xsi:type="dcterms:W3CDTF">2020-11-28T09:34:00Z</dcterms:modified>
</cp:coreProperties>
</file>